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98" w:rsidRPr="005F4B98" w:rsidRDefault="005F4B98" w:rsidP="005F4B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4B98">
        <w:rPr>
          <w:rFonts w:ascii="Times New Roman" w:hAnsi="Times New Roman" w:cs="Times New Roman"/>
          <w:b/>
        </w:rPr>
        <w:t>MINISTÉ</w:t>
      </w:r>
      <w:bookmarkStart w:id="0" w:name="_GoBack"/>
      <w:bookmarkEnd w:id="0"/>
      <w:r w:rsidRPr="005F4B98">
        <w:rPr>
          <w:rFonts w:ascii="Times New Roman" w:hAnsi="Times New Roman" w:cs="Times New Roman"/>
          <w:b/>
        </w:rPr>
        <w:t>RIO DA EDUCAÇÃO</w:t>
      </w:r>
    </w:p>
    <w:p w:rsidR="005F4B98" w:rsidRPr="005F4B98" w:rsidRDefault="005F4B98" w:rsidP="005F4B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4B98">
        <w:rPr>
          <w:rFonts w:ascii="Times New Roman" w:hAnsi="Times New Roman" w:cs="Times New Roman"/>
          <w:b/>
        </w:rPr>
        <w:t>GABINETE DO MINISTRO</w:t>
      </w:r>
    </w:p>
    <w:p w:rsidR="00F933D4" w:rsidRPr="005F4B98" w:rsidRDefault="00F933D4" w:rsidP="005F4B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4B98">
        <w:rPr>
          <w:rFonts w:ascii="Times New Roman" w:hAnsi="Times New Roman" w:cs="Times New Roman"/>
          <w:b/>
        </w:rPr>
        <w:t>PORTARIA Nº 501, DE 25 DE MAIO DE 2018</w:t>
      </w:r>
    </w:p>
    <w:p w:rsidR="005F4B98" w:rsidRDefault="005F4B98" w:rsidP="005F4B98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</w:p>
    <w:p w:rsidR="00F933D4" w:rsidRDefault="00F933D4" w:rsidP="005F4B98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Estabelece o regulamento do Exame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Nacional de Desempenho dos Estudantes -</w:t>
      </w:r>
      <w:r w:rsidR="005F4B98">
        <w:rPr>
          <w:rFonts w:ascii="Times New Roman" w:hAnsi="Times New Roman" w:cs="Times New Roman"/>
        </w:rPr>
        <w:t xml:space="preserve">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2018.</w:t>
      </w:r>
    </w:p>
    <w:p w:rsidR="005F4B98" w:rsidRPr="005F4B98" w:rsidRDefault="005F4B98" w:rsidP="005F4B98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O MINISTRO DE ESTADO DA EDUCAÇÃO, no uso da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atribuição que lhe confere o art. 87, parágrafo único, inciso II, da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 xml:space="preserve">Constituição, em conformidade com os </w:t>
      </w:r>
      <w:proofErr w:type="spellStart"/>
      <w:r w:rsidRPr="005F4B98">
        <w:rPr>
          <w:rFonts w:ascii="Times New Roman" w:hAnsi="Times New Roman" w:cs="Times New Roman"/>
        </w:rPr>
        <w:t>arts</w:t>
      </w:r>
      <w:proofErr w:type="spellEnd"/>
      <w:r w:rsidRPr="005F4B98">
        <w:rPr>
          <w:rFonts w:ascii="Times New Roman" w:hAnsi="Times New Roman" w:cs="Times New Roman"/>
        </w:rPr>
        <w:t>. 5º, § 11, e 14 da Lei nº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10.861, de 14 de abril de 2004, e tendo em vista o disposto na Portaria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Normativa MEC nº 19, de 13 de dezembro de 2017, resolve: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Art. 1º O Exame Nacional de Desempenho dos Estudantes -</w:t>
      </w:r>
      <w:r w:rsidR="005F4B98">
        <w:rPr>
          <w:rFonts w:ascii="Times New Roman" w:hAnsi="Times New Roman" w:cs="Times New Roman"/>
        </w:rPr>
        <w:t xml:space="preserve">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>, no ano de 2018, será aplicado para fins de avaliação de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desempenho dos estudantes dos cursos vinculados às seguintes áreas de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avaliação: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 xml:space="preserve">I - </w:t>
      </w:r>
      <w:proofErr w:type="gramStart"/>
      <w:r w:rsidRPr="005F4B98">
        <w:rPr>
          <w:rFonts w:ascii="Times New Roman" w:hAnsi="Times New Roman" w:cs="Times New Roman"/>
        </w:rPr>
        <w:t>áreas</w:t>
      </w:r>
      <w:proofErr w:type="gramEnd"/>
      <w:r w:rsidRPr="005F4B98">
        <w:rPr>
          <w:rFonts w:ascii="Times New Roman" w:hAnsi="Times New Roman" w:cs="Times New Roman"/>
        </w:rPr>
        <w:t xml:space="preserve"> relativas ao grau de bacharel: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a) Administração;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b) Administração Pública;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c) Ciências Contábeis;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d) Ciências Econômicas;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e) Comunicação Social - Jornalismo;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f) Comunicação Social - Publicidade e Propaganda;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g) Design;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h) Direito;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i) Psicologia;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j) Relações Internacionais;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k) Secretariado Executivo;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l) Serviço Social;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m) Teologia; e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n) Turismo;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 xml:space="preserve">II - </w:t>
      </w:r>
      <w:proofErr w:type="gramStart"/>
      <w:r w:rsidRPr="005F4B98">
        <w:rPr>
          <w:rFonts w:ascii="Times New Roman" w:hAnsi="Times New Roman" w:cs="Times New Roman"/>
        </w:rPr>
        <w:t>áreas</w:t>
      </w:r>
      <w:proofErr w:type="gramEnd"/>
      <w:r w:rsidRPr="005F4B98">
        <w:rPr>
          <w:rFonts w:ascii="Times New Roman" w:hAnsi="Times New Roman" w:cs="Times New Roman"/>
        </w:rPr>
        <w:t xml:space="preserve"> relativas ao grau de tecnólogo: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a) Tecnologia em Comércio Exterior;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b) Tecnologia em Design de Interiores;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c) Tecnologia em Design de Moda;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d) Tecnologia em Design Gráfico;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e) Tecnologia em Gastronomia;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f) Tecnologia em Gestão Comercial;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g) Tecnologia em Gestão da Qualidade;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h) Tecnologia em Gestão de Recursos Humanos;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i) Tecnologia em Gestão Financeira;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j) Tecnologia em Gestão Pública;</w:t>
      </w:r>
    </w:p>
    <w:p w:rsid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k) Tecnologia em Logística;</w:t>
      </w:r>
      <w:r w:rsidR="005F4B98">
        <w:rPr>
          <w:rFonts w:ascii="Times New Roman" w:hAnsi="Times New Roman" w:cs="Times New Roman"/>
        </w:rPr>
        <w:t xml:space="preserve"> 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l) Tecnologia em Marketing; e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m) Tecnologia em Processos Gerenciais.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 xml:space="preserve">Art. 2º As diretrizes para as provas do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2018 das áreas de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avaliação referidas no art. 1º serão divulgadas em portaria própria.</w:t>
      </w:r>
      <w:r w:rsidR="005F4B98">
        <w:rPr>
          <w:rFonts w:ascii="Times New Roman" w:hAnsi="Times New Roman" w:cs="Times New Roman"/>
        </w:rPr>
        <w:t xml:space="preserve"> </w:t>
      </w:r>
    </w:p>
    <w:p w:rsid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 xml:space="preserve">§ 1º As provas do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2018 serão elaboradas pelo Instituto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Nacional de Estudos e Pesquisas Educacionais Anísio Teixeira - Inep,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segundo as diretrizes publicadas pela portaria de que trata o caput, a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partir dos itens do Banco Nacional de Itens da Educação Superior - BNIES.</w:t>
      </w:r>
      <w:r w:rsidR="005F4B98">
        <w:rPr>
          <w:rFonts w:ascii="Times New Roman" w:hAnsi="Times New Roman" w:cs="Times New Roman"/>
        </w:rPr>
        <w:t xml:space="preserve"> 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§ 2º O Inep publicará Edital de Chamada Pública, a fim de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selecionar docentes para participar do processo de elaboração e revisão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de itens para o BNI-ES.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 xml:space="preserve">Art. 3º A prova do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2018 será aplicada em 25 de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novembro de 2018, com início às 13h30 (treze horas e trinta minutos) do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horário oficial de Brasília/DF.</w:t>
      </w:r>
    </w:p>
    <w:p w:rsid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Art. 4º São de responsabilidade dos dirigentes das Instituições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de Educação Superior - IES, segundo as orientações técnicas do Inep:</w:t>
      </w:r>
      <w:r w:rsidR="005F4B98">
        <w:rPr>
          <w:rFonts w:ascii="Times New Roman" w:hAnsi="Times New Roman" w:cs="Times New Roman"/>
        </w:rPr>
        <w:t xml:space="preserve"> 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 xml:space="preserve">I - </w:t>
      </w:r>
      <w:proofErr w:type="gramStart"/>
      <w:r w:rsidRPr="005F4B98">
        <w:rPr>
          <w:rFonts w:ascii="Times New Roman" w:hAnsi="Times New Roman" w:cs="Times New Roman"/>
        </w:rPr>
        <w:t>o</w:t>
      </w:r>
      <w:proofErr w:type="gramEnd"/>
      <w:r w:rsidRPr="005F4B98">
        <w:rPr>
          <w:rFonts w:ascii="Times New Roman" w:hAnsi="Times New Roman" w:cs="Times New Roman"/>
        </w:rPr>
        <w:t xml:space="preserve"> enquadramento dos cursos de graduação nas respectivas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 xml:space="preserve">áreas de abrangência do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2018;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 xml:space="preserve">II - </w:t>
      </w:r>
      <w:proofErr w:type="gramStart"/>
      <w:r w:rsidRPr="005F4B98">
        <w:rPr>
          <w:rFonts w:ascii="Times New Roman" w:hAnsi="Times New Roman" w:cs="Times New Roman"/>
        </w:rPr>
        <w:t>a</w:t>
      </w:r>
      <w:proofErr w:type="gramEnd"/>
      <w:r w:rsidRPr="005F4B98">
        <w:rPr>
          <w:rFonts w:ascii="Times New Roman" w:hAnsi="Times New Roman" w:cs="Times New Roman"/>
        </w:rPr>
        <w:t xml:space="preserve"> regularização de estudantes em situação irregular junto ao</w:t>
      </w:r>
      <w:r w:rsidR="005F4B98">
        <w:rPr>
          <w:rFonts w:ascii="Times New Roman" w:hAnsi="Times New Roman" w:cs="Times New Roman"/>
        </w:rPr>
        <w:t xml:space="preserve">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de anos anteriores; e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 xml:space="preserve">III - a inscrição dos estudantes habilitados ao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2018.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lastRenderedPageBreak/>
        <w:t>Art. 5º São considerados irregulares todos os estudantes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 xml:space="preserve">habilitados ao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de anos anteriores que não tenham cumprido com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os requisitos de regularidade do ano de referência.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Parágrafo único. Nos termos do art. 5º, § 5º, da Lei nº 10.861, de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14 de abril de 2004, os estudantes irregulares de anos anteriores que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 xml:space="preserve">tiverem sua situação regularizada na presente edição do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serão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dispensados da prova a ser aplicada em 2018 e sua situação de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regularidade será atestada por meio de relatório específico a ser emitido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pelo Inep.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Art. 6º Os estudantes habilitados para os cursos das áreas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 xml:space="preserve">descritas no art. 1º desta Portaria deverão participar do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2018,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independentemente da organização curricular adotada pela IES.</w:t>
      </w:r>
    </w:p>
    <w:p w:rsid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Art. 7º Para fins do disposto nesta Portaria, consideram-se:</w:t>
      </w:r>
      <w:r w:rsidR="005F4B98">
        <w:rPr>
          <w:rFonts w:ascii="Times New Roman" w:hAnsi="Times New Roman" w:cs="Times New Roman"/>
        </w:rPr>
        <w:t xml:space="preserve"> 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 xml:space="preserve">I - </w:t>
      </w:r>
      <w:proofErr w:type="gramStart"/>
      <w:r w:rsidRPr="005F4B98">
        <w:rPr>
          <w:rFonts w:ascii="Times New Roman" w:hAnsi="Times New Roman" w:cs="Times New Roman"/>
        </w:rPr>
        <w:t>estudantes</w:t>
      </w:r>
      <w:proofErr w:type="gramEnd"/>
      <w:r w:rsidRPr="005F4B98">
        <w:rPr>
          <w:rFonts w:ascii="Times New Roman" w:hAnsi="Times New Roman" w:cs="Times New Roman"/>
        </w:rPr>
        <w:t xml:space="preserve"> ingressantes: aqueles que tenham iniciado o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respectivo curso no ano de 2018, devidamente matriculados, e que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tenham de zero a vinte e cinco por cento da carga horária mínima do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currículo do curso cumprida até o último dia do período de retificação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 xml:space="preserve">das inscrições do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2018;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 xml:space="preserve">II - </w:t>
      </w:r>
      <w:proofErr w:type="gramStart"/>
      <w:r w:rsidRPr="005F4B98">
        <w:rPr>
          <w:rFonts w:ascii="Times New Roman" w:hAnsi="Times New Roman" w:cs="Times New Roman"/>
        </w:rPr>
        <w:t>estudantes</w:t>
      </w:r>
      <w:proofErr w:type="gramEnd"/>
      <w:r w:rsidRPr="005F4B98">
        <w:rPr>
          <w:rFonts w:ascii="Times New Roman" w:hAnsi="Times New Roman" w:cs="Times New Roman"/>
        </w:rPr>
        <w:t xml:space="preserve"> concluintes dos cursos de bacharelado: aqueles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que tenham expectativa de conclusão do curso até julho de 2018 ou que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tenham cumprido oitenta por cento ou mais da carga horária mínima do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currículo do curso da IES até o último dia do período de retificação das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 xml:space="preserve">inscrições do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2018; e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III - estudantes concluintes dos cursos superiores de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Tecnologia: aqueles que tenham expectativa de conclusão do curso até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dezembro de 2018 ou que tenham cumprido setenta e cinco por cento ou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mais da carga horária mínima do currículo do curso da IES até o último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 xml:space="preserve">dia do período de retificação das inscrições do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2018.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Parágrafo único. Os estudantes ingressantes, inscritos nos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termos deste artigo, serão dispensados da prova a ser aplicada em 2018 e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sua situação de regularidade será atestada por meio de relatório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específico a ser emitido pelo Inep, nos termos do art. 5º, § 5º, da Lei nº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10.861, de 2004, e em consonância com o art. 44 da Portaria Normativa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MEC nº 19, de 13 de dezembro de 2017.</w:t>
      </w:r>
    </w:p>
    <w:p w:rsid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 xml:space="preserve">Art. 8º O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é componente curricular obrigatório dos cursos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de graduação, nos termos do art. 5º, § 5º, da Lei nº 10.861, de 2004.</w:t>
      </w:r>
      <w:r w:rsidR="005F4B98">
        <w:rPr>
          <w:rFonts w:ascii="Times New Roman" w:hAnsi="Times New Roman" w:cs="Times New Roman"/>
        </w:rPr>
        <w:t xml:space="preserve"> 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§ 1º Serão considerados regulares os estudantes inscritos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como: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a) concluintes regulares devidamente inscritos pela IES, que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 xml:space="preserve">atestarem participação na prova do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e preencherem o Questionário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do Estudante; e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b) ingressantes devidamente inscritos pela IES.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§ 2º Serão considerados irregulares os estudantes que, inscritos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como concluintes regulares, deixarem de atestar participação na prova do</w:t>
      </w:r>
      <w:r w:rsidR="005F4B98">
        <w:rPr>
          <w:rFonts w:ascii="Times New Roman" w:hAnsi="Times New Roman" w:cs="Times New Roman"/>
        </w:rPr>
        <w:t xml:space="preserve">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e/ou deixarem de preencher o Questionário do Estudante.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 xml:space="preserve">Art. 9º Ficam dispensados da inscrição no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2018:</w:t>
      </w:r>
    </w:p>
    <w:p w:rsid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 xml:space="preserve">I - </w:t>
      </w:r>
      <w:proofErr w:type="gramStart"/>
      <w:r w:rsidRPr="005F4B98">
        <w:rPr>
          <w:rFonts w:ascii="Times New Roman" w:hAnsi="Times New Roman" w:cs="Times New Roman"/>
        </w:rPr>
        <w:t>os</w:t>
      </w:r>
      <w:proofErr w:type="gramEnd"/>
      <w:r w:rsidRPr="005F4B98">
        <w:rPr>
          <w:rFonts w:ascii="Times New Roman" w:hAnsi="Times New Roman" w:cs="Times New Roman"/>
        </w:rPr>
        <w:t xml:space="preserve"> estudantes dos cursos das áreas descritas no art. 1º que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tiverem colado grau até dia 31 de agosto de 2018; e</w:t>
      </w:r>
      <w:r w:rsidR="005F4B98">
        <w:rPr>
          <w:rFonts w:ascii="Times New Roman" w:hAnsi="Times New Roman" w:cs="Times New Roman"/>
        </w:rPr>
        <w:t xml:space="preserve"> 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 xml:space="preserve">II - </w:t>
      </w:r>
      <w:proofErr w:type="gramStart"/>
      <w:r w:rsidRPr="005F4B98">
        <w:rPr>
          <w:rFonts w:ascii="Times New Roman" w:hAnsi="Times New Roman" w:cs="Times New Roman"/>
        </w:rPr>
        <w:t>os</w:t>
      </w:r>
      <w:proofErr w:type="gramEnd"/>
      <w:r w:rsidRPr="005F4B98">
        <w:rPr>
          <w:rFonts w:ascii="Times New Roman" w:hAnsi="Times New Roman" w:cs="Times New Roman"/>
        </w:rPr>
        <w:t xml:space="preserve"> estudantes que estiverem oficialmente matriculados e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cursando atividades curriculares fora do Brasil, na data de realização do</w:t>
      </w:r>
      <w:r w:rsidR="005F4B98">
        <w:rPr>
          <w:rFonts w:ascii="Times New Roman" w:hAnsi="Times New Roman" w:cs="Times New Roman"/>
        </w:rPr>
        <w:t xml:space="preserve">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2018, em instituição conveniada com a IES de origem.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 xml:space="preserve">Parágrafo único. A dispensa do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2018 deverá ser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devidamente registrada no histórico escolar do estudante.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 xml:space="preserve">Art. 10. O Inep publicará o Edital do </w:t>
      </w:r>
      <w:proofErr w:type="spellStart"/>
      <w:r w:rsidRPr="005F4B98">
        <w:rPr>
          <w:rFonts w:ascii="Times New Roman" w:hAnsi="Times New Roman" w:cs="Times New Roman"/>
        </w:rPr>
        <w:t>Enade</w:t>
      </w:r>
      <w:proofErr w:type="spellEnd"/>
      <w:r w:rsidRPr="005F4B98">
        <w:rPr>
          <w:rFonts w:ascii="Times New Roman" w:hAnsi="Times New Roman" w:cs="Times New Roman"/>
        </w:rPr>
        <w:t xml:space="preserve"> 2018 e estabelecerá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os aspectos indispensáveis à operacionalização do Exame, incluindo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cronograma, prazos e procedimentos técnicos.</w:t>
      </w:r>
    </w:p>
    <w:p w:rsidR="00F933D4" w:rsidRPr="005F4B98" w:rsidRDefault="00F933D4" w:rsidP="005F4B98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5F4B98">
        <w:rPr>
          <w:rFonts w:ascii="Times New Roman" w:hAnsi="Times New Roman" w:cs="Times New Roman"/>
        </w:rPr>
        <w:t>Art. 11. Esta Portaria entra em vigor na data de sua</w:t>
      </w:r>
      <w:r w:rsidR="005F4B98">
        <w:rPr>
          <w:rFonts w:ascii="Times New Roman" w:hAnsi="Times New Roman" w:cs="Times New Roman"/>
        </w:rPr>
        <w:t xml:space="preserve"> </w:t>
      </w:r>
      <w:r w:rsidRPr="005F4B98">
        <w:rPr>
          <w:rFonts w:ascii="Times New Roman" w:hAnsi="Times New Roman" w:cs="Times New Roman"/>
        </w:rPr>
        <w:t>publicação.</w:t>
      </w:r>
    </w:p>
    <w:p w:rsidR="00F933D4" w:rsidRPr="005F4B98" w:rsidRDefault="00F933D4" w:rsidP="005F4B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4B98">
        <w:rPr>
          <w:rFonts w:ascii="Times New Roman" w:hAnsi="Times New Roman" w:cs="Times New Roman"/>
          <w:b/>
        </w:rPr>
        <w:t>ROSSIELI SOARES DA SILVA</w:t>
      </w:r>
    </w:p>
    <w:p w:rsidR="00F933D4" w:rsidRPr="005F4B98" w:rsidRDefault="00F933D4" w:rsidP="005F4B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33D4" w:rsidRPr="0062236D" w:rsidRDefault="0062236D" w:rsidP="005F4B98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62236D">
        <w:rPr>
          <w:rFonts w:ascii="Times New Roman" w:hAnsi="Times New Roman" w:cs="Times New Roman"/>
          <w:b/>
          <w:i/>
        </w:rPr>
        <w:t xml:space="preserve">(Publicação no DOU nº 101, de 28.5.2018, Seção 1, página </w:t>
      </w:r>
      <w:r w:rsidR="00F933D4" w:rsidRPr="0062236D">
        <w:rPr>
          <w:rFonts w:ascii="Times New Roman" w:hAnsi="Times New Roman" w:cs="Times New Roman"/>
          <w:b/>
          <w:i/>
        </w:rPr>
        <w:t>26</w:t>
      </w:r>
      <w:r w:rsidRPr="0062236D">
        <w:rPr>
          <w:rFonts w:ascii="Times New Roman" w:hAnsi="Times New Roman" w:cs="Times New Roman"/>
          <w:b/>
          <w:i/>
        </w:rPr>
        <w:t>)</w:t>
      </w:r>
    </w:p>
    <w:p w:rsidR="005F4B98" w:rsidRDefault="005F4B98" w:rsidP="005F4B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4B98" w:rsidRPr="005F4B98" w:rsidRDefault="005F4B98" w:rsidP="005F4B9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F4B98" w:rsidRPr="005F4B98" w:rsidSect="005F4B98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16E" w:rsidRDefault="0077516E" w:rsidP="005F4B98">
      <w:pPr>
        <w:spacing w:after="0" w:line="240" w:lineRule="auto"/>
      </w:pPr>
      <w:r>
        <w:separator/>
      </w:r>
    </w:p>
  </w:endnote>
  <w:endnote w:type="continuationSeparator" w:id="0">
    <w:p w:rsidR="0077516E" w:rsidRDefault="0077516E" w:rsidP="005F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445934"/>
      <w:docPartObj>
        <w:docPartGallery w:val="Page Numbers (Bottom of Page)"/>
        <w:docPartUnique/>
      </w:docPartObj>
    </w:sdtPr>
    <w:sdtContent>
      <w:p w:rsidR="005F4B98" w:rsidRDefault="005F4B9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E79">
          <w:rPr>
            <w:noProof/>
          </w:rPr>
          <w:t>1</w:t>
        </w:r>
        <w:r>
          <w:fldChar w:fldCharType="end"/>
        </w:r>
      </w:p>
    </w:sdtContent>
  </w:sdt>
  <w:p w:rsidR="005F4B98" w:rsidRDefault="005F4B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16E" w:rsidRDefault="0077516E" w:rsidP="005F4B98">
      <w:pPr>
        <w:spacing w:after="0" w:line="240" w:lineRule="auto"/>
      </w:pPr>
      <w:r>
        <w:separator/>
      </w:r>
    </w:p>
  </w:footnote>
  <w:footnote w:type="continuationSeparator" w:id="0">
    <w:p w:rsidR="0077516E" w:rsidRDefault="0077516E" w:rsidP="005F4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D4"/>
    <w:rsid w:val="004B1A5C"/>
    <w:rsid w:val="005F4B98"/>
    <w:rsid w:val="0062236D"/>
    <w:rsid w:val="006E545A"/>
    <w:rsid w:val="0077516E"/>
    <w:rsid w:val="00DF7E79"/>
    <w:rsid w:val="00F9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D8FD"/>
  <w15:chartTrackingRefBased/>
  <w15:docId w15:val="{3FB21494-8023-4F2E-BCF4-256E8D97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4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4B98"/>
  </w:style>
  <w:style w:type="paragraph" w:styleId="Rodap">
    <w:name w:val="footer"/>
    <w:basedOn w:val="Normal"/>
    <w:link w:val="RodapChar"/>
    <w:uiPriority w:val="99"/>
    <w:unhideWhenUsed/>
    <w:rsid w:val="005F4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Andrade</dc:creator>
  <cp:keywords/>
  <dc:description/>
  <cp:lastModifiedBy>Mateus Andrade</cp:lastModifiedBy>
  <cp:revision>3</cp:revision>
  <dcterms:created xsi:type="dcterms:W3CDTF">2018-05-28T08:32:00Z</dcterms:created>
  <dcterms:modified xsi:type="dcterms:W3CDTF">2018-05-28T08:33:00Z</dcterms:modified>
</cp:coreProperties>
</file>